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D77" w:rsidRDefault="00DC05B0" w:rsidP="00290B55">
      <w:pPr>
        <w:pStyle w:val="Heading110"/>
        <w:shd w:val="clear" w:color="auto" w:fill="auto"/>
        <w:spacing w:after="120" w:line="276" w:lineRule="auto"/>
        <w:rPr>
          <w:color w:val="000000"/>
        </w:rPr>
      </w:pPr>
      <w:bookmarkStart w:id="0" w:name="bookmark0"/>
      <w:r>
        <w:rPr>
          <w:color w:val="000000"/>
        </w:rPr>
        <w:t>Симулация на действия в областта на климата: развити държави</w:t>
      </w:r>
      <w:bookmarkEnd w:id="0"/>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276"/>
        <w:gridCol w:w="5811"/>
      </w:tblGrid>
      <w:tr w:rsidR="004D0CFD" w:rsidTr="0061167A">
        <w:trPr>
          <w:trHeight w:val="725"/>
        </w:trPr>
        <w:tc>
          <w:tcPr>
            <w:tcW w:w="2660" w:type="dxa"/>
            <w:vMerge w:val="restart"/>
          </w:tcPr>
          <w:p w:rsidR="004D0CFD" w:rsidRPr="00290B55" w:rsidRDefault="0091067F" w:rsidP="004D0CFD">
            <w:pPr>
              <w:rPr>
                <w:sz w:val="16"/>
                <w:szCs w:val="16"/>
              </w:rPr>
            </w:pPr>
            <w:r>
              <w:rPr>
                <w:noProof/>
                <w:sz w:val="16"/>
                <w:szCs w:val="16"/>
                <w:lang w:eastAsia="bg-BG"/>
              </w:rPr>
              <w:drawing>
                <wp:anchor distT="0" distB="0" distL="63500" distR="63500" simplePos="0" relativeHeight="377491201" behindDoc="1" locked="0" layoutInCell="1" allowOverlap="1" wp14:anchorId="48386D96" wp14:editId="37D0F14E">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276" w:type="dxa"/>
          </w:tcPr>
          <w:p w:rsidR="004D0CFD" w:rsidRPr="00290B55" w:rsidRDefault="004D0CFD" w:rsidP="00290B55">
            <w:pPr>
              <w:spacing w:before="120"/>
              <w:rPr>
                <w:b/>
              </w:rPr>
            </w:pPr>
            <w:r>
              <w:rPr>
                <w:b/>
                <w:color w:val="000000"/>
              </w:rPr>
              <w:t xml:space="preserve">До: </w:t>
            </w:r>
          </w:p>
        </w:tc>
        <w:tc>
          <w:tcPr>
            <w:tcW w:w="5811" w:type="dxa"/>
          </w:tcPr>
          <w:p w:rsidR="004D0CFD" w:rsidRPr="00290B55" w:rsidRDefault="004D0CFD" w:rsidP="00290B55">
            <w:pPr>
              <w:spacing w:before="120"/>
              <w:rPr>
                <w:b/>
                <w:color w:val="000000"/>
              </w:rPr>
            </w:pPr>
            <w:r>
              <w:rPr>
                <w:b/>
                <w:color w:val="000000"/>
              </w:rPr>
              <w:t>Главните преговарящи от името на развитите държави</w:t>
            </w:r>
          </w:p>
          <w:p w:rsidR="004D0CFD" w:rsidRDefault="004D0CFD" w:rsidP="004D0CFD">
            <w:r>
              <w:rPr>
                <w:color w:val="000000"/>
              </w:rPr>
              <w:t>(САЩ, Канада, Европейски съюз, Япония, Русия и други бивши съветски републики, Южна Корея, Австралия, Нова Зеландия)</w:t>
            </w:r>
          </w:p>
        </w:tc>
      </w:tr>
      <w:tr w:rsidR="004D0CFD" w:rsidTr="0061167A">
        <w:trPr>
          <w:trHeight w:val="725"/>
        </w:trPr>
        <w:tc>
          <w:tcPr>
            <w:tcW w:w="2660" w:type="dxa"/>
            <w:vMerge/>
          </w:tcPr>
          <w:p w:rsidR="004D0CFD" w:rsidRPr="004D0CFD" w:rsidRDefault="004D0CFD" w:rsidP="004D0CFD">
            <w:pPr>
              <w:rPr>
                <w:lang w:bidi="en-US"/>
              </w:rPr>
            </w:pPr>
          </w:p>
        </w:tc>
        <w:tc>
          <w:tcPr>
            <w:tcW w:w="1276" w:type="dxa"/>
          </w:tcPr>
          <w:p w:rsidR="004D0CFD" w:rsidRPr="00290B55" w:rsidRDefault="004D0CFD" w:rsidP="00290B55">
            <w:pPr>
              <w:spacing w:before="120"/>
              <w:rPr>
                <w:b/>
                <w:color w:val="000000"/>
              </w:rPr>
            </w:pPr>
            <w:r>
              <w:rPr>
                <w:b/>
                <w:color w:val="000000"/>
              </w:rPr>
              <w:t>Предмет:</w:t>
            </w:r>
          </w:p>
        </w:tc>
        <w:tc>
          <w:tcPr>
            <w:tcW w:w="5811" w:type="dxa"/>
          </w:tcPr>
          <w:p w:rsidR="004D0CFD" w:rsidRPr="00290B55" w:rsidRDefault="004D0CFD" w:rsidP="00290B55">
            <w:pPr>
              <w:spacing w:before="120"/>
              <w:rPr>
                <w:b/>
                <w:color w:val="000000"/>
              </w:rPr>
            </w:pPr>
            <w:r>
              <w:rPr>
                <w:b/>
                <w:color w:val="000000"/>
              </w:rPr>
              <w:t>Подготовка за срещата на върха за действия в областта на климата</w:t>
            </w:r>
          </w:p>
        </w:tc>
      </w:tr>
    </w:tbl>
    <w:p w:rsidR="004D0CFD" w:rsidRPr="00290B55" w:rsidRDefault="004D0CFD" w:rsidP="00290B55"/>
    <w:p w:rsidR="002C1D77" w:rsidRPr="004D0CFD" w:rsidRDefault="00DC05B0" w:rsidP="00290B55">
      <w:pPr>
        <w:spacing w:after="120"/>
      </w:pPr>
      <w:r>
        <w:t>Добре дошли на срещата на върха за действия в областта на климата. Вие и лидерите от всички заинтересовани страни бяхте поканени от генералния секретар на ООН да работите заедно за успе</w:t>
      </w:r>
      <w:bookmarkStart w:id="1" w:name="_GoBack"/>
      <w:bookmarkEnd w:id="1"/>
      <w:r>
        <w:t xml:space="preserve">шното намиране на решение на проблема с изменението на климата. В поканата си генералният секретар </w:t>
      </w:r>
      <w:r>
        <w:rPr>
          <w:rStyle w:val="Bodytext2"/>
        </w:rPr>
        <w:t>отбеляза</w:t>
      </w:r>
      <w:r>
        <w:t xml:space="preserve">, че: „В областта на климата положението е извънредно, като засега сме губещи в тази надпревара, но можем да променим това... Според най-добрите научни достижения ... повишаването на температурата с над 1,5 °C ще доведе до значителни и необратими щети на </w:t>
      </w:r>
      <w:proofErr w:type="spellStart"/>
      <w:r>
        <w:t>животоподдържащите</w:t>
      </w:r>
      <w:proofErr w:type="spellEnd"/>
      <w:r>
        <w:t xml:space="preserve"> екосистеми... Но пак според науката още не е твърде късно да преодолеем това положение... Ще са необходими обаче фундаментални промени във всички аспекти на обществото — начина, по който отглеждаме храна и използваме земята, горивата, които потребяваме за транспорт, и енергията, която захранва нашите икономики... Чрез съвместни действия ще гарантираме, че никой няма да бъде пренебрегнат.“</w:t>
      </w:r>
    </w:p>
    <w:p w:rsidR="002C1D77" w:rsidRPr="004D0CFD" w:rsidRDefault="00DC05B0" w:rsidP="000A6D24">
      <w:pPr>
        <w:spacing w:after="120" w:line="276" w:lineRule="auto"/>
      </w:pPr>
      <w:r>
        <w:rPr>
          <w:color w:val="000000"/>
        </w:rPr>
        <w:t xml:space="preserve">Целта на срещата на високо равнище е да се изготви план за ограничаване на глобалното затопляне до под 2°C спрямо равнищата от </w:t>
      </w:r>
      <w:proofErr w:type="spellStart"/>
      <w:r>
        <w:rPr>
          <w:color w:val="000000"/>
        </w:rPr>
        <w:t>прединдустриалния</w:t>
      </w:r>
      <w:proofErr w:type="spellEnd"/>
      <w:r>
        <w:rPr>
          <w:color w:val="000000"/>
        </w:rPr>
        <w:t xml:space="preserve"> период със стремеж към 1,5°C – международните, официално признати цели в Парижкото споразумение относно изменението на климата. </w:t>
      </w:r>
      <w:r>
        <w:rPr>
          <w:rStyle w:val="Bodytext2"/>
        </w:rPr>
        <w:t>Научните доказателства</w:t>
      </w:r>
      <w:r>
        <w:t xml:space="preserve"> са ясни: затопляне над тази граница ще доведе до катастрофални и необратими последици, заплашващи здравето, просперитета и живота на хората във всички държави.</w:t>
      </w:r>
    </w:p>
    <w:p w:rsidR="002C1D77" w:rsidRPr="004D0CFD" w:rsidRDefault="00DC05B0" w:rsidP="00290B55">
      <w:pPr>
        <w:spacing w:after="120" w:line="276" w:lineRule="auto"/>
      </w:pPr>
      <w:r>
        <w:rPr>
          <w:color w:val="000000"/>
        </w:rPr>
        <w:t>Вие представлявате развитите държави в света (изброени по-горе). Общо населението на Вашите държави е 1,3 милиарда души, което представлява около 17</w:t>
      </w:r>
      <w:r w:rsidR="0061167A">
        <w:rPr>
          <w:color w:val="000000"/>
        </w:rPr>
        <w:t> % от световното население (7,7 </w:t>
      </w:r>
      <w:r>
        <w:rPr>
          <w:color w:val="000000"/>
        </w:rPr>
        <w:t>милиарда души). Въпреки това взети заедно Вашите държави генерират 60 % от световното икономическо производство и имат най-висок БВП (брутен вътрешен продукт) на глава от населението.</w:t>
      </w:r>
    </w:p>
    <w:p w:rsidR="002C1D77" w:rsidRPr="004D0CFD" w:rsidRDefault="00DC05B0" w:rsidP="00290B55">
      <w:pPr>
        <w:spacing w:after="120" w:line="276" w:lineRule="auto"/>
      </w:pPr>
      <w:r>
        <w:rPr>
          <w:color w:val="000000"/>
        </w:rPr>
        <w:t>Приоритетите на Вашата политика са изброени по-долу. Можете обаче да предложите или блокирате всяка от посочените политики.</w:t>
      </w:r>
    </w:p>
    <w:p w:rsidR="002C1D77" w:rsidRPr="007A09A4" w:rsidRDefault="00DC05B0" w:rsidP="00290B55">
      <w:pPr>
        <w:numPr>
          <w:ilvl w:val="0"/>
          <w:numId w:val="1"/>
        </w:numPr>
        <w:spacing w:after="120" w:line="276" w:lineRule="auto"/>
        <w:ind w:left="403" w:hanging="403"/>
      </w:pPr>
      <w:r>
        <w:rPr>
          <w:b/>
          <w:color w:val="000000"/>
        </w:rPr>
        <w:t>Субсидиране на енергия от възобновяеми източници (например слънчева, вятърна, геотермална, водноелектрическа енергия и съхранение на енергия).</w:t>
      </w:r>
      <w:r>
        <w:rPr>
          <w:color w:val="000000"/>
        </w:rPr>
        <w:t xml:space="preserve"> </w:t>
      </w:r>
      <w:r>
        <w:t>Отрасълът на производството на енергия от възобновяеми източници нараства с бързи темпове, но все още съставлява по-малко от 5 % от световните енергийни доставки. Субсидиите ще помогнат на тези отрасли да се развият, създавайки работни места във Вашите държави (ако успеете да изпреварите технологиите за вятърна и слънчева енергия и технологията на акумулаторните батерии, разработвани в Китай и други развиващи се държави). Технологиите за съхранение на енергия (например акумулатори, съхранение на топлинна енергия, помпено-акумулиращи водноелектрически централи) и технологиите за „интелигентни мрежи“ дават възможност за интегриране на различни възобновяеми енергийни източници (например вятърна и слънчева енергия) в енергийната система, осигурявайки непрекъснато захранване с електроенергия.</w:t>
      </w:r>
    </w:p>
    <w:p w:rsidR="002C1D77" w:rsidRPr="00290B55" w:rsidRDefault="00DC05B0" w:rsidP="00290B55">
      <w:pPr>
        <w:numPr>
          <w:ilvl w:val="0"/>
          <w:numId w:val="1"/>
        </w:numPr>
        <w:spacing w:after="120" w:line="276" w:lineRule="auto"/>
        <w:ind w:left="403" w:hanging="403"/>
        <w:rPr>
          <w:b/>
        </w:rPr>
      </w:pPr>
      <w:r>
        <w:rPr>
          <w:rStyle w:val="Bodytext2Bold"/>
        </w:rPr>
        <w:lastRenderedPageBreak/>
        <w:t>Намаляване на обезлесяването.</w:t>
      </w:r>
      <w:r>
        <w:t xml:space="preserve"> </w:t>
      </w:r>
      <w:r>
        <w:rPr>
          <w:color w:val="000000"/>
        </w:rPr>
        <w:t>Понастоящем обезлесяването е причина за около 15 % от емисиите на парникови газове в световен мащаб. Голяма част от обезлесяването засяга тропическите гори на развиващите се страни, включително басейна на Амазонка, Африка и Южна/Югоизточна Азия. Опазването на горите може да доведе до намаляване на тези емисии, като същевременно се съхранят биологичното разнообразие и водните запаси.</w:t>
      </w:r>
    </w:p>
    <w:p w:rsidR="002C1D77" w:rsidRPr="00290B55" w:rsidRDefault="00DC05B0" w:rsidP="00290B55">
      <w:pPr>
        <w:numPr>
          <w:ilvl w:val="0"/>
          <w:numId w:val="1"/>
        </w:numPr>
        <w:spacing w:after="120" w:line="276" w:lineRule="auto"/>
        <w:ind w:left="403" w:hanging="403"/>
        <w:rPr>
          <w:b/>
        </w:rPr>
      </w:pPr>
      <w:r>
        <w:rPr>
          <w:rStyle w:val="Bodytext2Bold"/>
        </w:rPr>
        <w:t xml:space="preserve">Разглеждане на възможностите за залесяване. </w:t>
      </w:r>
      <w:r>
        <w:rPr>
          <w:color w:val="000000"/>
        </w:rPr>
        <w:t xml:space="preserve">Залесяването е засаждане на нови гори на земи, където няма дървета, понякога това е земя, която преди това е била обезлесена или с влошено качество. </w:t>
      </w:r>
      <w:r>
        <w:t>При растежа на дърветата CO</w:t>
      </w:r>
      <w:r>
        <w:rPr>
          <w:vertAlign w:val="subscript"/>
        </w:rPr>
        <w:t>2</w:t>
      </w:r>
      <w:r>
        <w:t xml:space="preserve"> се улавя от атмосферата и се съхранява в биомасата и почвите.</w:t>
      </w:r>
      <w:r>
        <w:rPr>
          <w:color w:val="000000"/>
        </w:rPr>
        <w:t xml:space="preserve"> Приложено в голям мащаб, залесяването би могло да използва земя, необходима за отглеждане на култури или добитък, като по този начин се увеличават цените на храните. Обмислете колко земя биха изисквали политиките за залесяване, предложени от Вашата и други групи.</w:t>
      </w:r>
    </w:p>
    <w:p w:rsidR="002C1D77" w:rsidRPr="007A09A4" w:rsidRDefault="00DC05B0" w:rsidP="00290B55">
      <w:pPr>
        <w:numPr>
          <w:ilvl w:val="0"/>
          <w:numId w:val="1"/>
        </w:numPr>
        <w:spacing w:after="120" w:line="276" w:lineRule="auto"/>
        <w:ind w:left="400" w:hanging="400"/>
      </w:pPr>
      <w:r>
        <w:rPr>
          <w:b/>
          <w:color w:val="000000"/>
        </w:rPr>
        <w:t xml:space="preserve">Намаляване на емисиите на метан, </w:t>
      </w:r>
      <w:proofErr w:type="spellStart"/>
      <w:r>
        <w:rPr>
          <w:b/>
          <w:color w:val="000000"/>
        </w:rPr>
        <w:t>двуазотен</w:t>
      </w:r>
      <w:proofErr w:type="spellEnd"/>
      <w:r>
        <w:rPr>
          <w:b/>
          <w:color w:val="000000"/>
        </w:rPr>
        <w:t xml:space="preserve"> оксид и други парникови газове.</w:t>
      </w:r>
      <w:r>
        <w:t xml:space="preserve"> СО</w:t>
      </w:r>
      <w:r>
        <w:rPr>
          <w:vertAlign w:val="subscript"/>
        </w:rPr>
        <w:t>2</w:t>
      </w:r>
      <w:r>
        <w:t xml:space="preserve"> е най-разпространеният парников газ, но други газове причиняват около една четвърт от глобалното затопляне. Сред тях са метан (CH</w:t>
      </w:r>
      <w:r>
        <w:rPr>
          <w:vertAlign w:val="subscript"/>
        </w:rPr>
        <w:t>4</w:t>
      </w:r>
      <w:r>
        <w:t xml:space="preserve">), </w:t>
      </w:r>
      <w:proofErr w:type="spellStart"/>
      <w:r>
        <w:t>двуазотен</w:t>
      </w:r>
      <w:proofErr w:type="spellEnd"/>
      <w:r>
        <w:t xml:space="preserve"> оксид (N</w:t>
      </w:r>
      <w:r>
        <w:rPr>
          <w:vertAlign w:val="subscript"/>
        </w:rPr>
        <w:t>2</w:t>
      </w:r>
      <w:r>
        <w:t xml:space="preserve">O) и широк спектър от </w:t>
      </w:r>
      <w:proofErr w:type="spellStart"/>
      <w:r>
        <w:t>флуорохлоровъглеводороди</w:t>
      </w:r>
      <w:proofErr w:type="spellEnd"/>
      <w:r>
        <w:t xml:space="preserve"> и други флуорирани съединения (т. нар. </w:t>
      </w:r>
      <w:proofErr w:type="spellStart"/>
      <w:r>
        <w:t>флуорсъдържащи</w:t>
      </w:r>
      <w:proofErr w:type="spellEnd"/>
      <w:r>
        <w:t xml:space="preserve"> парникови газове (ФПГ). Молекула по молекула, много от газовете, които не съдържат CO</w:t>
      </w:r>
      <w:r>
        <w:rPr>
          <w:vertAlign w:val="subscript"/>
        </w:rPr>
        <w:t>2</w:t>
      </w:r>
      <w:r>
        <w:t>, допринасят за глобалното затопляне през следващия век, д</w:t>
      </w:r>
      <w:r w:rsidR="0061167A">
        <w:t>есетки, стотици или дори хиляди </w:t>
      </w:r>
      <w:r>
        <w:t>пъти повече отколкото CO</w:t>
      </w:r>
      <w:r>
        <w:rPr>
          <w:vertAlign w:val="subscript"/>
        </w:rPr>
        <w:t>2</w:t>
      </w:r>
      <w:r>
        <w:t>. Въпреки ниските си концентрации те се увеличават бързо.</w:t>
      </w:r>
    </w:p>
    <w:p w:rsidR="002C1D77" w:rsidRPr="007A09A4" w:rsidRDefault="00DC05B0" w:rsidP="00290B55">
      <w:pPr>
        <w:keepLines/>
        <w:numPr>
          <w:ilvl w:val="0"/>
          <w:numId w:val="1"/>
        </w:numPr>
        <w:spacing w:after="120" w:line="276" w:lineRule="auto"/>
        <w:ind w:left="403" w:hanging="403"/>
      </w:pPr>
      <w:r>
        <w:rPr>
          <w:b/>
        </w:rPr>
        <w:t>Вземане на решение за евентуални инвестиции в научноизследователска и развойна дейност (НИРД) за нов евтин източник на енергия с нулеви емисии.</w:t>
      </w:r>
      <w:r>
        <w:t xml:space="preserve"> Някои учени смятат, че един нов вид ядрена енергия, получена например при деленето на тория или чрез ядрен синтез, ще предложи най-добрия вариант за замяна на изкопаемите горива. Те твърдят, че тези технологии биха могли да предоставят в голям мащаб евтина електроенергия с нулеви въглеродни емисии. Няколко изтъкнати университета и дружества проучват обещаващи възможности за нови решения в областта на ядрената енергетика. Тези нови технологии обаче все още не могат да се използват и биха изисквали значителни инвестиции, за да станат рентабилни.</w:t>
      </w:r>
    </w:p>
    <w:p w:rsidR="002C1D77" w:rsidRPr="007A09A4" w:rsidRDefault="00DC05B0" w:rsidP="00290B55">
      <w:pPr>
        <w:numPr>
          <w:ilvl w:val="0"/>
          <w:numId w:val="1"/>
        </w:numPr>
        <w:spacing w:after="120" w:line="276" w:lineRule="auto"/>
        <w:ind w:left="403" w:hanging="403"/>
      </w:pPr>
      <w:r>
        <w:rPr>
          <w:b/>
        </w:rPr>
        <w:t>Вземане на решение дали може да бъде постигнат значителен напредък в технологията за отстраняване на въглероден диоксид.</w:t>
      </w:r>
      <w:r>
        <w:t xml:space="preserve"> Целта на новата област на разработване на технологии за отстраняване на въглеродния диоксид е да бъдат открити методи за отстраняване на CO</w:t>
      </w:r>
      <w:r>
        <w:rPr>
          <w:vertAlign w:val="subscript"/>
        </w:rPr>
        <w:t>2</w:t>
      </w:r>
      <w:r>
        <w:t xml:space="preserve"> от атмосферата. Тези технологии варират от промени в селскостопанските практики, които биха могли да бъдат приложени още днес, до теоретични и </w:t>
      </w:r>
      <w:proofErr w:type="spellStart"/>
      <w:r>
        <w:t>недоказали</w:t>
      </w:r>
      <w:proofErr w:type="spellEnd"/>
      <w:r>
        <w:t xml:space="preserve"> се технологии като прякото улавяне от въздуха. Вашата група може да реши да инвестира в тези технологии.</w:t>
      </w:r>
    </w:p>
    <w:p w:rsidR="002C1D77" w:rsidRPr="007A09A4" w:rsidRDefault="00DC05B0" w:rsidP="00290B55">
      <w:pPr>
        <w:numPr>
          <w:ilvl w:val="0"/>
          <w:numId w:val="1"/>
        </w:numPr>
        <w:tabs>
          <w:tab w:val="left" w:pos="355"/>
        </w:tabs>
        <w:spacing w:after="120" w:line="276" w:lineRule="auto"/>
        <w:ind w:left="403" w:hanging="403"/>
      </w:pPr>
      <w:r>
        <w:rPr>
          <w:b/>
        </w:rPr>
        <w:t>Обмисляне на въвеждането на цена за емисиите на CO</w:t>
      </w:r>
      <w:r>
        <w:rPr>
          <w:b/>
          <w:vertAlign w:val="subscript"/>
        </w:rPr>
        <w:t>2</w:t>
      </w:r>
      <w:r>
        <w:rPr>
          <w:b/>
        </w:rPr>
        <w:t>.</w:t>
      </w:r>
      <w:r>
        <w:t xml:space="preserve"> Изкопаемите горива все още доминират в световната енергийна система, а генерираният от тях СО</w:t>
      </w:r>
      <w:r>
        <w:rPr>
          <w:vertAlign w:val="subscript"/>
        </w:rPr>
        <w:t>2</w:t>
      </w:r>
      <w:r>
        <w:t xml:space="preserve"> безспорно е най-големият източник на емисии на парникови газове. Икономистите споделят виждането, че въвеждането на цена на въглеродните емисии е най-добрият начин за намаляване на емисиите на парникови газове в световен мащаб. Обмислете възможността за определяне на цена на въглеродните емисии, която да бъде евентуално въведена постепенно, за да се даде време на промишлеността и потребителите да се приспособят. Приходите могат да бъдат използвани за компенсиране на гражданите и на разходите, свързани с други политики, за намаляване на бюджетния дефицит на държавата или за подпомагане на развиващите се страни да намалят емисиите си. Въпреки че в някои от Вашите държави, региони и провинции бяха въведени цени на въглеродните емисии, повечето от тях са далече под препоръчваната от много икономисти минимална цена от 30—50 </w:t>
      </w:r>
      <w:proofErr w:type="spellStart"/>
      <w:r>
        <w:t>щ.д</w:t>
      </w:r>
      <w:proofErr w:type="spellEnd"/>
      <w:r>
        <w:t>. за тон CO</w:t>
      </w:r>
      <w:r>
        <w:rPr>
          <w:vertAlign w:val="subscript"/>
        </w:rPr>
        <w:t>2</w:t>
      </w:r>
      <w:r>
        <w:t>. На въвеждането на цени на въглеродните емисии се противопоставят отрасълът на изкопаемите горива и предприятията, които разчитат в голяма степен на изкопаемите горива.</w:t>
      </w:r>
    </w:p>
    <w:p w:rsidR="002C1D77" w:rsidRPr="000A6D24" w:rsidRDefault="00DC05B0" w:rsidP="00290B55">
      <w:pPr>
        <w:spacing w:after="120" w:line="276" w:lineRule="auto"/>
        <w:rPr>
          <w:b/>
        </w:rPr>
      </w:pPr>
      <w:r>
        <w:rPr>
          <w:b/>
          <w:color w:val="000000"/>
        </w:rPr>
        <w:lastRenderedPageBreak/>
        <w:t>Допълнителни съображения</w:t>
      </w:r>
    </w:p>
    <w:p w:rsidR="002C1D77" w:rsidRPr="004D0CFD" w:rsidRDefault="00DC05B0" w:rsidP="000A6D24">
      <w:pPr>
        <w:spacing w:after="120" w:line="276" w:lineRule="auto"/>
      </w:pPr>
      <w:r>
        <w:rPr>
          <w:color w:val="000000"/>
        </w:rPr>
        <w:t xml:space="preserve">Вие признавате, че изменението на климата е факт, че то се причинява основно от изгарянето на изкопаеми горива, и че създава сериозни рискове за хората по света, включително за Вашите съграждани. Изменението на климата представлява сериозна заплаха с мултиплициращ ефект, подкопаваща националната Ви сигурност, тъй като щетите, причинявани от изменението на климата, все по-често водят до конфликти и миграция, която вече предизвиква силни отрицателни реакции от страна на някои хора и налагането на </w:t>
      </w:r>
      <w:proofErr w:type="spellStart"/>
      <w:r>
        <w:rPr>
          <w:color w:val="000000"/>
        </w:rPr>
        <w:t>антиимигрантски</w:t>
      </w:r>
      <w:proofErr w:type="spellEnd"/>
      <w:r>
        <w:rPr>
          <w:color w:val="000000"/>
        </w:rPr>
        <w:t xml:space="preserve"> политики.</w:t>
      </w:r>
    </w:p>
    <w:p w:rsidR="002C1D77" w:rsidRPr="004D0CFD" w:rsidRDefault="00DC05B0" w:rsidP="000A6D24">
      <w:pPr>
        <w:spacing w:after="120" w:line="276" w:lineRule="auto"/>
      </w:pPr>
      <w:r>
        <w:rPr>
          <w:color w:val="000000"/>
        </w:rPr>
        <w:t xml:space="preserve">В същото време Вашите държави зависят от изкопаемите горива — понастоящем те генерират 36 % от емисиите на парникови газове в световен мащаб и много по-висок дял от кумулативните емисии през периода след промишлената революция. Икономиките на някои държави във Вашата група разчитат на износа на изкопаеми горива, особено Русия (нефт и газ), Австралия (въглища) и Канада (нефт от </w:t>
      </w:r>
      <w:proofErr w:type="spellStart"/>
      <w:r>
        <w:rPr>
          <w:color w:val="000000"/>
        </w:rPr>
        <w:t>битуминозни</w:t>
      </w:r>
      <w:proofErr w:type="spellEnd"/>
      <w:r>
        <w:rPr>
          <w:color w:val="000000"/>
        </w:rPr>
        <w:t xml:space="preserve"> пясъци). Съединените щати обявиха намерението си да се оттеглят от Парижкото споразумение относно изменението на климата от 2015 г., а федералното правителство на САЩ се отдръпва от редица благоприятни за климата политики. </w:t>
      </w:r>
      <w:r>
        <w:t xml:space="preserve">В същото време </w:t>
      </w:r>
      <w:r>
        <w:rPr>
          <w:rStyle w:val="Bodytext2"/>
        </w:rPr>
        <w:t>десетки щати</w:t>
      </w:r>
      <w:r>
        <w:t xml:space="preserve"> и стотици градове, окръзи и предприятия в САЩ заявиха, че </w:t>
      </w:r>
      <w:r>
        <w:rPr>
          <w:rStyle w:val="Bodytext2"/>
        </w:rPr>
        <w:t>продължават да се придържат към Парижкото споразумение</w:t>
      </w:r>
      <w:r>
        <w:t xml:space="preserve"> и се ангажираха да изпълнят или преизпълнят своя дял от ангажимента на САЩ.</w:t>
      </w:r>
      <w:r>
        <w:rPr>
          <w:color w:val="000000"/>
        </w:rPr>
        <w:t xml:space="preserve"> Много правителства и предприятия считат, че благоприятните за климата политики са добри за икономиката. Енергийната ефективност и възобновяемите енергийни източници като вятърната и слънчевата енергия често са рентабилни, създават работни места и подобряват общественото здраве.</w:t>
      </w:r>
    </w:p>
    <w:p w:rsidR="002C1D77" w:rsidRPr="004D0CFD" w:rsidRDefault="00DC05B0">
      <w:pPr>
        <w:spacing w:line="276" w:lineRule="auto"/>
      </w:pPr>
      <w:r>
        <w:rPr>
          <w:color w:val="000000"/>
        </w:rPr>
        <w:t>Констатирате обаче, че докато Вашите държави се стремят да намалят собствените си емисии на парникови газове, най-големият източник на емисии в света е Китай (28 % от световните емисии), а взети заедно развиващите се и бързо развиващите се страни генерират около 65 % от световните емисии, въпреки че емисиите на глава от населението в тези държави са ниски.</w:t>
      </w:r>
    </w:p>
    <w:sectPr w:rsidR="002C1D77" w:rsidRPr="004D0CFD" w:rsidSect="004D0CFD">
      <w:footerReference w:type="default" r:id="rId8"/>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5B0" w:rsidRDefault="00DC05B0">
      <w:pPr>
        <w:spacing w:line="240" w:lineRule="auto"/>
      </w:pPr>
      <w:r>
        <w:separator/>
      </w:r>
    </w:p>
  </w:endnote>
  <w:endnote w:type="continuationSeparator" w:id="0">
    <w:p w:rsidR="00DC05B0" w:rsidRDefault="00DC0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CFD" w:rsidRPr="00290B55" w:rsidRDefault="004D0CFD">
    <w:pPr>
      <w:pStyle w:val="Footer"/>
      <w:rPr>
        <w:i/>
        <w:sz w:val="18"/>
        <w:szCs w:val="18"/>
      </w:rPr>
    </w:pPr>
    <w:r>
      <w:rPr>
        <w:i/>
        <w:sz w:val="18"/>
        <w:szCs w:val="18"/>
      </w:rPr>
      <w:t xml:space="preserve">Разработена от </w:t>
    </w:r>
    <w:proofErr w:type="spellStart"/>
    <w:r>
      <w:rPr>
        <w:i/>
        <w:sz w:val="18"/>
        <w:szCs w:val="18"/>
      </w:rPr>
      <w:t>Climate</w:t>
    </w:r>
    <w:proofErr w:type="spellEnd"/>
    <w:r>
      <w:rPr>
        <w:i/>
        <w:sz w:val="18"/>
        <w:szCs w:val="18"/>
      </w:rPr>
      <w:t xml:space="preserve"> </w:t>
    </w:r>
    <w:proofErr w:type="spellStart"/>
    <w:r>
      <w:rPr>
        <w:i/>
        <w:sz w:val="18"/>
        <w:szCs w:val="18"/>
      </w:rPr>
      <w:t>Interactive</w:t>
    </w:r>
    <w:proofErr w:type="spellEnd"/>
    <w:r>
      <w:rPr>
        <w:i/>
        <w:sz w:val="18"/>
        <w:szCs w:val="18"/>
      </w:rPr>
      <w:t xml:space="preserve">, MIT </w:t>
    </w:r>
    <w:proofErr w:type="spellStart"/>
    <w:r>
      <w:rPr>
        <w:i/>
        <w:sz w:val="18"/>
        <w:szCs w:val="18"/>
      </w:rPr>
      <w:t>Sloan</w:t>
    </w:r>
    <w:proofErr w:type="spellEnd"/>
    <w:r>
      <w:rPr>
        <w:i/>
        <w:sz w:val="18"/>
        <w:szCs w:val="18"/>
      </w:rPr>
      <w:t xml:space="preserve"> </w:t>
    </w:r>
    <w:proofErr w:type="spellStart"/>
    <w:r>
      <w:rPr>
        <w:i/>
        <w:sz w:val="18"/>
        <w:szCs w:val="18"/>
      </w:rPr>
      <w:t>School</w:t>
    </w:r>
    <w:proofErr w:type="spellEnd"/>
    <w:r>
      <w:rPr>
        <w:i/>
        <w:sz w:val="18"/>
        <w:szCs w:val="18"/>
      </w:rPr>
      <w:t xml:space="preserve"> </w:t>
    </w:r>
    <w:proofErr w:type="spellStart"/>
    <w:r>
      <w:rPr>
        <w:i/>
        <w:sz w:val="18"/>
        <w:szCs w:val="18"/>
      </w:rPr>
      <w:t>of</w:t>
    </w:r>
    <w:proofErr w:type="spellEnd"/>
    <w:r>
      <w:rPr>
        <w:i/>
        <w:sz w:val="18"/>
        <w:szCs w:val="18"/>
      </w:rPr>
      <w:t xml:space="preserve"> </w:t>
    </w:r>
    <w:proofErr w:type="spellStart"/>
    <w:r>
      <w:rPr>
        <w:i/>
        <w:sz w:val="18"/>
        <w:szCs w:val="18"/>
      </w:rPr>
      <w:t>Management</w:t>
    </w:r>
    <w:proofErr w:type="spellEnd"/>
    <w:r>
      <w:rPr>
        <w:i/>
        <w:sz w:val="18"/>
        <w:szCs w:val="18"/>
      </w:rPr>
      <w:t xml:space="preserve"> </w:t>
    </w:r>
    <w:proofErr w:type="spellStart"/>
    <w:r>
      <w:rPr>
        <w:i/>
        <w:sz w:val="18"/>
        <w:szCs w:val="18"/>
      </w:rPr>
      <w:t>Sustainability</w:t>
    </w:r>
    <w:proofErr w:type="spellEnd"/>
    <w:r>
      <w:rPr>
        <w:i/>
        <w:sz w:val="18"/>
        <w:szCs w:val="18"/>
      </w:rPr>
      <w:t xml:space="preserve"> </w:t>
    </w:r>
    <w:proofErr w:type="spellStart"/>
    <w:r>
      <w:rPr>
        <w:i/>
        <w:sz w:val="18"/>
        <w:szCs w:val="18"/>
      </w:rPr>
      <w:t>Initiative</w:t>
    </w:r>
    <w:proofErr w:type="spellEnd"/>
    <w:r>
      <w:rPr>
        <w:i/>
        <w:sz w:val="18"/>
        <w:szCs w:val="18"/>
      </w:rPr>
      <w:t xml:space="preserve">, ESB </w:t>
    </w:r>
    <w:proofErr w:type="spellStart"/>
    <w:r>
      <w:rPr>
        <w:i/>
        <w:sz w:val="18"/>
        <w:szCs w:val="18"/>
      </w:rPr>
      <w:t>Business</w:t>
    </w:r>
    <w:proofErr w:type="spellEnd"/>
    <w:r>
      <w:rPr>
        <w:i/>
        <w:sz w:val="18"/>
        <w:szCs w:val="18"/>
      </w:rPr>
      <w:t xml:space="preserve"> </w:t>
    </w:r>
    <w:proofErr w:type="spellStart"/>
    <w:r>
      <w:rPr>
        <w:i/>
        <w:sz w:val="18"/>
        <w:szCs w:val="18"/>
      </w:rPr>
      <w:t>School</w:t>
    </w:r>
    <w:proofErr w:type="spellEnd"/>
    <w:r>
      <w:rPr>
        <w:i/>
        <w:sz w:val="18"/>
        <w:szCs w:val="18"/>
      </w:rPr>
      <w:t xml:space="preserve">, и </w:t>
    </w:r>
    <w:proofErr w:type="spellStart"/>
    <w:r>
      <w:rPr>
        <w:i/>
        <w:sz w:val="18"/>
        <w:szCs w:val="18"/>
      </w:rPr>
      <w:t>UMass</w:t>
    </w:r>
    <w:proofErr w:type="spellEnd"/>
    <w:r>
      <w:rPr>
        <w:i/>
        <w:sz w:val="18"/>
        <w:szCs w:val="18"/>
      </w:rPr>
      <w:t xml:space="preserve"> </w:t>
    </w:r>
    <w:proofErr w:type="spellStart"/>
    <w:r>
      <w:rPr>
        <w:i/>
        <w:sz w:val="18"/>
        <w:szCs w:val="18"/>
      </w:rPr>
      <w:t>Lowell</w:t>
    </w:r>
    <w:proofErr w:type="spellEnd"/>
    <w:r>
      <w:rPr>
        <w:i/>
        <w:sz w:val="18"/>
        <w:szCs w:val="18"/>
      </w:rPr>
      <w:t xml:space="preserve"> </w:t>
    </w:r>
    <w:proofErr w:type="spellStart"/>
    <w:r>
      <w:rPr>
        <w:i/>
        <w:sz w:val="18"/>
        <w:szCs w:val="18"/>
      </w:rPr>
      <w:t>Climate</w:t>
    </w:r>
    <w:proofErr w:type="spellEnd"/>
    <w:r>
      <w:rPr>
        <w:i/>
        <w:sz w:val="18"/>
        <w:szCs w:val="18"/>
      </w:rPr>
      <w:t xml:space="preserve"> </w:t>
    </w:r>
    <w:proofErr w:type="spellStart"/>
    <w:r>
      <w:rPr>
        <w:i/>
        <w:sz w:val="18"/>
        <w:szCs w:val="18"/>
      </w:rPr>
      <w:t>Change</w:t>
    </w:r>
    <w:proofErr w:type="spellEnd"/>
    <w:r>
      <w:rPr>
        <w:i/>
        <w:sz w:val="18"/>
        <w:szCs w:val="18"/>
      </w:rPr>
      <w:t xml:space="preserve"> </w:t>
    </w:r>
    <w:proofErr w:type="spellStart"/>
    <w:r>
      <w:rPr>
        <w:i/>
        <w:sz w:val="18"/>
        <w:szCs w:val="18"/>
      </w:rPr>
      <w:t>Initiative</w:t>
    </w:r>
    <w:proofErr w:type="spellEnd"/>
    <w:r>
      <w:rPr>
        <w:i/>
        <w:sz w:val="18"/>
        <w:szCs w:val="18"/>
      </w:rPr>
      <w:t xml:space="preserve">. Последна актуализация: септември 2019 г. </w:t>
    </w:r>
    <w:hyperlink r:id="rId1" w:history="1">
      <w:r w:rsidR="0061167A" w:rsidRPr="006D3D49">
        <w:rPr>
          <w:rStyle w:val="Hyperlink"/>
          <w:sz w:val="18"/>
          <w:szCs w:val="18"/>
        </w:rPr>
        <w:t>http://www.climateinteractive.org/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5B0" w:rsidRDefault="00DC05B0"/>
  </w:footnote>
  <w:footnote w:type="continuationSeparator" w:id="0">
    <w:p w:rsidR="00DC05B0" w:rsidRDefault="00DC05B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77"/>
    <w:rsid w:val="0006720E"/>
    <w:rsid w:val="000A6D24"/>
    <w:rsid w:val="00290B55"/>
    <w:rsid w:val="002C1D77"/>
    <w:rsid w:val="004D0CFD"/>
    <w:rsid w:val="00571732"/>
    <w:rsid w:val="005C1752"/>
    <w:rsid w:val="0061167A"/>
    <w:rsid w:val="006D3A3F"/>
    <w:rsid w:val="007412A6"/>
    <w:rsid w:val="007835BC"/>
    <w:rsid w:val="007A09A4"/>
    <w:rsid w:val="0091067F"/>
    <w:rsid w:val="00A26097"/>
    <w:rsid w:val="00BE2C0D"/>
    <w:rsid w:val="00BE3933"/>
    <w:rsid w:val="00DC05B0"/>
    <w:rsid w:val="00FE5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120E1"/>
  <w15:docId w15:val="{FC3C4463-D4E4-4841-9654-13972E8DE98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bg-BG"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bg-BG"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bg-BG"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bg-BG"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bg-BG"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bg-BG"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bg-BG"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bg-BG"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bg-BG"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CTJJHAUHWN5E-644613129-2719</_dlc_DocId>
    <_dlc_DocIdUrl xmlns="bfc960a6-20da-4c94-8684-71380fca093b">
      <Url>http://dm2016/eesc/2019/_layouts/15/DocIdRedir.aspx?ID=CTJJHAUHWN5E-644613129-2719</Url>
      <Description>CTJJHAUHWN5E-644613129-2719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153</Value>
      <Value>64</Value>
      <Value>63</Value>
      <Value>62</Value>
      <Value>246</Value>
      <Value>152</Value>
      <Value>56</Value>
      <Value>55</Value>
      <Value>17</Value>
      <Value>52</Value>
      <Value>162</Value>
      <Value>21</Value>
      <Value>11</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24780F-9F33-45E3-9E17-DA7BA39F3868}"/>
</file>

<file path=customXml/itemProps2.xml><?xml version="1.0" encoding="utf-8"?>
<ds:datastoreItem xmlns:ds="http://schemas.openxmlformats.org/officeDocument/2006/customXml" ds:itemID="{2364340A-4853-4C4A-89ED-D459014E418F}"/>
</file>

<file path=customXml/itemProps3.xml><?xml version="1.0" encoding="utf-8"?>
<ds:datastoreItem xmlns:ds="http://schemas.openxmlformats.org/officeDocument/2006/customXml" ds:itemID="{D5067627-31A7-4FCA-80B7-0C58956FD9C4}"/>
</file>

<file path=customXml/itemProps4.xml><?xml version="1.0" encoding="utf-8"?>
<ds:datastoreItem xmlns:ds="http://schemas.openxmlformats.org/officeDocument/2006/customXml" ds:itemID="{1CA3A255-EECF-478F-9768-D024536973D9}"/>
</file>

<file path=docProps/app.xml><?xml version="1.0" encoding="utf-8"?>
<Properties xmlns="http://schemas.openxmlformats.org/officeDocument/2006/extended-properties" xmlns:vt="http://schemas.openxmlformats.org/officeDocument/2006/docPropsVTypes">
  <Template>Styles</Template>
  <TotalTime>4</TotalTime>
  <Pages>3</Pages>
  <Words>1360</Words>
  <Characters>7753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Работни документи - Група 6A - развити държави</dc:title>
  <cp:keywords>EESC-2019-05163-05-00-INFO-TRA-EN</cp:keywords>
  <dc:description>Rapporteur:  - Original language: EN - Date of document: 09/12/2019 - Date of meeting:  - External documents:  - Administrator: MME LAHOUSSE Chloé</dc:description>
  <cp:lastModifiedBy>Yulian Petrov</cp:lastModifiedBy>
  <cp:revision>5</cp:revision>
  <dcterms:created xsi:type="dcterms:W3CDTF">2019-11-15T11:30:00Z</dcterms:created>
  <dcterms:modified xsi:type="dcterms:W3CDTF">2019-12-09T14:21:00Z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24b4e764-b213-4c10-be6b-e893b336905a</vt:lpwstr>
  </property>
  <property fmtid="{D5CDD505-2E9C-101B-9397-08002B2CF9AE}" pid="9" name="AvailableTranslations">
    <vt:lpwstr>63;#MT|7df99101-6854-4a26-b53a-b88c0da02c26;#152;#MK|34ce48bb-063e-4413-a932-50853dc71c5c;#162;#TR|6e4ededd-04c4-4fa0-94e0-1028050302d5;#64;#PT|50ccc04a-eadd-42ae-a0cb-acaf45f812ba;#62;#FI|87606a43-d45f-42d6-b8c9-e1a3457db5b7;#154;#SQ|5ac17240-8d11-45ec-9893-659b209d7a00;#56;#SL|98a412ae-eb01-49e9-ae3d-585a81724cfc;#4;#EN|f2175f21-25d7-44a3-96da-d6a61b075e1b;#52;#DA|5d49c027-8956-412b-aa16-e85a0f96ad0e;#45;#NL|55c6556c-b4f4-441d-9acf-c498d4f838bd;#17;#ES|e7a6b05b-ae16-40c8-add9-68b64b03aeba;#153;#SR|7f3a1d13-b985-4bfd-981e-afe31377edff;#55;#BG|1a1b3951-7821-4e6a-85f5-5673fc08bd2c;#246;#ME|925b3da5-5ac0-4b3c-928c-6ef66a5c9b3c;#21;#IT|0774613c-01ed-4e5d-a25d-11d2388de825</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T|7df99101-6854-4a26-b53a-b88c0da02c26;MK|34ce48bb-063e-4413-a932-50853dc71c5c;TR|6e4ededd-04c4-4fa0-94e0-1028050302d5;PT|50ccc04a-eadd-42ae-a0cb-acaf45f812ba;FI|87606a43-d45f-42d6-b8c9-e1a3457db5b7;SQ|5ac17240-8d11-45ec-9893-659b209d7a00;EN|f2175f21-25d7-44a3-96da-d6a61b075e1b;DA|5d49c027-8956-412b-aa16-e85a0f96ad0e;NL|55c6556c-b4f4-441d-9acf-c498d4f838bd;ES|e7a6b05b-ae16-40c8-add9-68b64b03aeba;SR|7f3a1d13-b985-4bfd-981e-afe31377edff;ME|925b3da5-5ac0-4b3c-928c-6ef66a5c9b3c;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153;#SR|7f3a1d13-b985-4bfd-981e-afe31377edff;#64;#PT|50ccc04a-eadd-42ae-a0cb-acaf45f812ba;#63;#MT|7df99101-6854-4a26-b53a-b88c0da02c26;#62;#FI|87606a43-d45f-42d6-b8c9-e1a3457db5b7;#246;#ME|925b3da5-5ac0-4b3c-928c-6ef66a5c9b3c;#152;#MK|34ce48bb-063e-4413-a932-50853dc71c5c;#21;#IT|0774613c-01ed-4e5d-a25d-11d2388de825;#17;#ES|e7a6b05b-ae16-40c8-add9-68b64b03aeba;#52;#DA|5d49c027-8956-412b-aa16-e85a0f96ad0e;#162;#TR|6e4ededd-04c4-4fa0-94e0-1028050302d5;#11;#INFO|d9136e7c-93a9-4c42-9d28-92b61e85f80c;#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11388</vt:i4>
  </property>
  <property fmtid="{D5CDD505-2E9C-101B-9397-08002B2CF9AE}" pid="37" name="DocumentLanguage">
    <vt:lpwstr>55;#BG|1a1b3951-7821-4e6a-85f5-5673fc08bd2c</vt:lpwstr>
  </property>
</Properties>
</file>